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D1" w:rsidRDefault="005515C0" w:rsidP="00B85BA8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 w:rsidRPr="00B85BA8">
        <w:rPr>
          <w:rFonts w:ascii="方正小标宋简体" w:eastAsia="方正小标宋简体" w:hAnsi="方正大标宋简体" w:cs="方正大标宋简体" w:hint="eastAsia"/>
          <w:sz w:val="44"/>
          <w:szCs w:val="44"/>
        </w:rPr>
        <w:t>临床医学院毕业工作实施细则</w:t>
      </w:r>
    </w:p>
    <w:p w:rsidR="00B85BA8" w:rsidRPr="00B85BA8" w:rsidRDefault="00B85BA8" w:rsidP="00B85BA8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</w:p>
    <w:p w:rsidR="009201D1" w:rsidRPr="000A1F5E" w:rsidRDefault="005515C0" w:rsidP="00B85BA8">
      <w:pPr>
        <w:adjustRightInd w:val="0"/>
        <w:snapToGrid w:val="0"/>
        <w:spacing w:line="540" w:lineRule="exact"/>
        <w:jc w:val="center"/>
        <w:rPr>
          <w:sz w:val="32"/>
          <w:szCs w:val="32"/>
        </w:rPr>
      </w:pPr>
      <w:r w:rsidRPr="000A1F5E">
        <w:rPr>
          <w:rFonts w:ascii="黑体" w:eastAsia="黑体" w:hAnsi="黑体" w:cs="黑体" w:hint="eastAsia"/>
          <w:sz w:val="32"/>
          <w:szCs w:val="32"/>
        </w:rPr>
        <w:t>第一章</w:t>
      </w:r>
      <w:r w:rsidR="00C83FBD">
        <w:rPr>
          <w:rFonts w:ascii="黑体" w:eastAsia="黑体" w:hAnsi="黑体" w:cs="黑体"/>
          <w:sz w:val="32"/>
          <w:szCs w:val="32"/>
        </w:rPr>
        <w:t xml:space="preserve">  </w:t>
      </w:r>
      <w:r w:rsidRPr="000A1F5E">
        <w:rPr>
          <w:rFonts w:ascii="黑体" w:eastAsia="黑体" w:hAnsi="黑体" w:cs="黑体" w:hint="eastAsia"/>
          <w:sz w:val="32"/>
          <w:szCs w:val="32"/>
        </w:rPr>
        <w:t>总则</w:t>
      </w:r>
    </w:p>
    <w:p w:rsidR="009201D1" w:rsidRPr="00B85BA8" w:rsidRDefault="005515C0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第一条</w:t>
      </w: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为做好研究生毕业答辩等相关工作，根据《普通高等学校学生管理规定》及兰州大学研究生培养方案，特制定本细则。</w:t>
      </w:r>
    </w:p>
    <w:p w:rsidR="00BE3230" w:rsidRDefault="0063537E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第二条</w:t>
      </w:r>
      <w:r w:rsidR="00C83FBD"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毕业申请工作由研究生个人申请、导师审核、学院研究生管理部门统一受理，经</w:t>
      </w:r>
      <w:r w:rsidR="00C83FBD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临床医学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学位</w:t>
      </w:r>
      <w:proofErr w:type="gramStart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评定分</w:t>
      </w:r>
      <w:proofErr w:type="gramEnd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委员会审批后报研究生院主管部门。</w:t>
      </w:r>
    </w:p>
    <w:p w:rsidR="009201D1" w:rsidRDefault="008514F6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第三条</w:t>
      </w:r>
      <w:r w:rsidR="00C83FBD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BE3230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本细则适用于已达到毕业资格，但在毕业年度未成功申请学位或</w:t>
      </w: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学制已满尚未达到学位申请条件的研究生，以及研究生结业人员。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</w:p>
    <w:p w:rsidR="009201D1" w:rsidRPr="000A1F5E" w:rsidRDefault="005515C0" w:rsidP="00B85BA8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 w:rsidRPr="000A1F5E">
        <w:rPr>
          <w:rFonts w:ascii="黑体" w:eastAsia="黑体" w:hAnsi="黑体" w:cs="黑体" w:hint="eastAsia"/>
          <w:sz w:val="32"/>
          <w:szCs w:val="32"/>
        </w:rPr>
        <w:t>第二章</w:t>
      </w:r>
      <w:r w:rsidR="00C83FBD">
        <w:rPr>
          <w:rFonts w:ascii="黑体" w:eastAsia="黑体" w:hAnsi="黑体" w:cs="黑体"/>
          <w:sz w:val="32"/>
          <w:szCs w:val="32"/>
        </w:rPr>
        <w:t xml:space="preserve">  </w:t>
      </w:r>
      <w:r w:rsidRPr="000A1F5E">
        <w:rPr>
          <w:rFonts w:ascii="黑体" w:eastAsia="黑体" w:hAnsi="黑体" w:cs="黑体" w:hint="eastAsia"/>
          <w:sz w:val="32"/>
          <w:szCs w:val="32"/>
        </w:rPr>
        <w:t>研究生毕业基本条件</w:t>
      </w:r>
    </w:p>
    <w:p w:rsidR="009201D1" w:rsidRPr="00B85BA8" w:rsidRDefault="003F5742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</w:t>
      </w:r>
      <w:r w:rsidR="008514F6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四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C83FBD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研究生</w:t>
      </w:r>
      <w:r w:rsidR="00333817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在学校规定的学习年限内，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完成</w:t>
      </w:r>
      <w:r w:rsidR="00333817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个人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培养计划规定的课程学习及必修环节</w:t>
      </w:r>
      <w:r w:rsidR="002378BB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（专业学位硕士研究生还须获得《医师资格证》）</w:t>
      </w:r>
      <w:r w:rsidR="00AA0AE5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，</w:t>
      </w:r>
      <w:r w:rsidR="00A307DE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且思想政治素质和品德合格，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完成毕业论文撰写，根据培养方案审核达到毕业条件。</w:t>
      </w:r>
    </w:p>
    <w:p w:rsidR="009201D1" w:rsidRPr="00C83FBD" w:rsidRDefault="005515C0" w:rsidP="00B85BA8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 w:rsidRPr="00C83FBD">
        <w:rPr>
          <w:rFonts w:ascii="黑体" w:eastAsia="黑体" w:hAnsi="黑体" w:cs="黑体" w:hint="eastAsia"/>
          <w:sz w:val="32"/>
          <w:szCs w:val="32"/>
        </w:rPr>
        <w:t>第三章</w:t>
      </w:r>
      <w:r w:rsidR="00C83FBD" w:rsidRPr="00C83FBD">
        <w:rPr>
          <w:rFonts w:ascii="黑体" w:eastAsia="黑体" w:hAnsi="黑体" w:cs="黑体"/>
          <w:sz w:val="32"/>
          <w:szCs w:val="32"/>
        </w:rPr>
        <w:t xml:space="preserve">  </w:t>
      </w:r>
      <w:r w:rsidRPr="00C83FBD">
        <w:rPr>
          <w:rFonts w:ascii="黑体" w:eastAsia="黑体" w:hAnsi="黑体" w:cs="黑体" w:hint="eastAsia"/>
          <w:sz w:val="32"/>
          <w:szCs w:val="32"/>
        </w:rPr>
        <w:t>毕业资格审查</w:t>
      </w:r>
    </w:p>
    <w:p w:rsidR="009201D1" w:rsidRPr="00B85BA8" w:rsidRDefault="00C92ED3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第五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74626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申请毕业的研究生须完成综合管理系统毕业信息核对，通过毕业资格审查后，方能参加毕业论文文字复制比检测、同行专家评阅及毕业答辩。</w:t>
      </w:r>
    </w:p>
    <w:p w:rsidR="009201D1" w:rsidRPr="00B85BA8" w:rsidRDefault="00C92ED3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第六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74626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学院须对研究生在学期间的现实表现、课程成绩、培养环节等培养过程进行综合考察。</w:t>
      </w:r>
    </w:p>
    <w:p w:rsidR="009201D1" w:rsidRPr="00B85BA8" w:rsidRDefault="005515C0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</w:t>
      </w:r>
      <w:r w:rsidR="00C92ED3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七</w:t>
      </w: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74626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研究生申请毕业须由指导教师按照有关规定，审核其申请材料及在学期间的现实表现和发表的成果。</w:t>
      </w:r>
    </w:p>
    <w:p w:rsidR="009201D1" w:rsidRPr="000A1F5E" w:rsidRDefault="005515C0" w:rsidP="00B85BA8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 w:rsidRPr="000A1F5E">
        <w:rPr>
          <w:rFonts w:ascii="黑体" w:eastAsia="黑体" w:hAnsi="黑体" w:cs="黑体" w:hint="eastAsia"/>
          <w:sz w:val="32"/>
          <w:szCs w:val="32"/>
        </w:rPr>
        <w:lastRenderedPageBreak/>
        <w:t>第四章  毕业论文评阅</w:t>
      </w:r>
    </w:p>
    <w:p w:rsidR="005158CF" w:rsidRPr="005158CF" w:rsidRDefault="005158CF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</w:t>
      </w:r>
      <w:r w:rsidR="00C92ED3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八</w:t>
      </w: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毕业论文书写规范及格式同《兰州大学博士硕士学位论文</w:t>
      </w:r>
      <w:r w:rsidR="00871287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写作规范</w:t>
      </w: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》</w:t>
      </w:r>
      <w:r w:rsidR="00871287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和《兰州大学博士硕士学位论文写作格式示例》</w:t>
      </w:r>
      <w:r w:rsidR="00C92ED3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的要求一致。</w:t>
      </w:r>
    </w:p>
    <w:p w:rsidR="009201D1" w:rsidRPr="00B85BA8" w:rsidRDefault="00C92ED3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第九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研究生毕业论文由研究生指导教师审核同意，经学院毕业论文文字复制比检测合格后组织送审，文字复制比检测结果及处理办法参照《</w:t>
      </w:r>
      <w:bookmarkStart w:id="0" w:name="_Toc481235473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兰州大学研究生学位论文学术不端行为</w:t>
      </w:r>
      <w:bookmarkStart w:id="1" w:name="_Toc481235474"/>
      <w:bookmarkEnd w:id="0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检测及处理办法</w:t>
      </w:r>
      <w:bookmarkEnd w:id="1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》执行。</w:t>
      </w:r>
    </w:p>
    <w:p w:rsidR="009201D1" w:rsidRPr="00B85BA8" w:rsidRDefault="004579C0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毕业论文由学院统一组织送审。  </w:t>
      </w:r>
    </w:p>
    <w:p w:rsidR="009201D1" w:rsidRPr="00B85BA8" w:rsidRDefault="00533F7E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（一）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硕士毕业论文至少由2位副教授（或相当专业技术职务者）以上专业技术职务的专家评阅，其中具有本专业硕士学位授予权的外单位专家不少于1位。</w:t>
      </w:r>
    </w:p>
    <w:p w:rsidR="009201D1" w:rsidRPr="00B85BA8" w:rsidRDefault="00533F7E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（二）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博士毕业论文至少由3位教授（或相当专业技术职务者）以上专业技术职务的专家评阅，其中具有本专业博士学位授予权的外单位专家不少于2位。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第十一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毕业论文评阅结果的处理参照《兰州大学博士硕士学位论文评阅办法》中关于论文评阅结果的处理办法执行。毕业论文评阅通过者方可参加毕业答辩。</w:t>
      </w:r>
    </w:p>
    <w:p w:rsidR="009201D1" w:rsidRPr="000A1F5E" w:rsidRDefault="005515C0" w:rsidP="00B85BA8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 w:rsidRPr="000A1F5E">
        <w:rPr>
          <w:rFonts w:ascii="黑体" w:eastAsia="黑体" w:hAnsi="黑体" w:cs="黑体" w:hint="eastAsia"/>
          <w:sz w:val="32"/>
          <w:szCs w:val="32"/>
        </w:rPr>
        <w:t>第五章  毕业论文答辩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第十二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毕业论文答辩委员会的组成由研究生指导教师提名，经学院审批后由指导教师组织答辩。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第十三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硕士毕业论文答辩委员会由</w:t>
      </w:r>
      <w:r w:rsidR="005515C0" w:rsidRPr="003D7DD0">
        <w:rPr>
          <w:rStyle w:val="a9"/>
          <w:rFonts w:ascii="仿宋_GB2312" w:eastAsia="仿宋_GB2312" w:hAnsi="仿宋_GB2312" w:cs="仿宋_GB2312" w:hint="eastAsia"/>
          <w:b w:val="0"/>
          <w:bCs w:val="0"/>
          <w:color w:val="FF0000"/>
          <w:kern w:val="0"/>
          <w:sz w:val="32"/>
          <w:szCs w:val="32"/>
        </w:rPr>
        <w:t>5位具有副教授（或相当专业技术职务者）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以上专业技术职务的专家组成，其中必须有外单位专家；</w:t>
      </w:r>
      <w:bookmarkStart w:id="2" w:name="_GoBack"/>
      <w:r w:rsidR="005515C0" w:rsidRPr="003D7DD0">
        <w:rPr>
          <w:rStyle w:val="a9"/>
          <w:rFonts w:ascii="仿宋_GB2312" w:eastAsia="仿宋_GB2312" w:hAnsi="仿宋_GB2312" w:cs="仿宋_GB2312" w:hint="eastAsia"/>
          <w:b w:val="0"/>
          <w:bCs w:val="0"/>
          <w:color w:val="FF0000"/>
          <w:kern w:val="0"/>
          <w:sz w:val="32"/>
          <w:szCs w:val="32"/>
        </w:rPr>
        <w:t>博士毕业论文答辩委员会由5位或7位专家组成，</w:t>
      </w:r>
      <w:bookmarkEnd w:id="2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其中一半以上应是教授（或相当专业技术职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lastRenderedPageBreak/>
        <w:t>务者），外单位专家不少于2位，答辩委员会主席由教授（或相当专业技术职务者）担任。答辩委员会设秘书1人，负责处理具体工作；设记录员1-2人，记录答辩整个过程，记录应准确、完整。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第十四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答辩时，要发扬学术民主，任何人不得妨碍委员独立发表学术意见。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第十五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答辩人必须按时参加答辩，遵守答辩会场规则。无故缺席者，视为放弃答辩资格。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第十六</w:t>
      </w:r>
      <w:r w:rsidR="005515C0" w:rsidRPr="000A1F5E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答辩全程应公开举行。其程序是：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（一）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答辩委员会主席宣布答辩开始，介绍答辩委员会成员姓名、专业技术职务，指定答辩记录人、秘书。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（二）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研究生介绍毕业论文主要内容。</w:t>
      </w:r>
    </w:p>
    <w:p w:rsidR="009201D1" w:rsidRPr="00B85BA8" w:rsidRDefault="005515C0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硕士论文介绍一般控制在20分钟左右，总答辩时间不得少于35分钟；博士论文介绍一般控制在30分钟左右，总答辩时间不得少于50分钟。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（三）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答辩委员会委员提问，答辩人就所提问题进行答辩。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（四）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休会。</w:t>
      </w:r>
    </w:p>
    <w:p w:rsidR="009201D1" w:rsidRPr="00B85BA8" w:rsidRDefault="005515C0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答辩委员会委员听取导师及评阅人的评语，对答辩情况进行讨论，提出对论文的评价意见。</w:t>
      </w:r>
    </w:p>
    <w:p w:rsidR="009201D1" w:rsidRPr="00B85BA8" w:rsidRDefault="005515C0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对是否同意毕业进行表决</w:t>
      </w:r>
      <w:r w:rsidR="008F7B2B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形成毕业论文答辩决议</w:t>
      </w: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。表决以无记名投票的方式进行，经全体答辩委员三分之二以上</w:t>
      </w:r>
      <w:r w:rsidR="008F7B2B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（不含三分之二）</w:t>
      </w:r>
      <w:r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同意方为通过。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0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（五）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复会，宣布答辩委员会决议及有关事项，答辩会结束。</w:t>
      </w:r>
    </w:p>
    <w:p w:rsidR="009201D1" w:rsidRPr="00E10BF3" w:rsidRDefault="005515C0" w:rsidP="00B85BA8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 w:rsidRPr="00E10BF3">
        <w:rPr>
          <w:rFonts w:ascii="黑体" w:eastAsia="黑体" w:hAnsi="黑体" w:cs="黑体" w:hint="eastAsia"/>
          <w:sz w:val="32"/>
          <w:szCs w:val="32"/>
        </w:rPr>
        <w:lastRenderedPageBreak/>
        <w:t>第六章</w:t>
      </w:r>
      <w:r w:rsidR="002B3BA1" w:rsidRPr="00C83FBD">
        <w:rPr>
          <w:rFonts w:ascii="黑体" w:eastAsia="黑体" w:hAnsi="黑体" w:cs="黑体"/>
          <w:sz w:val="32"/>
          <w:szCs w:val="32"/>
        </w:rPr>
        <w:t xml:space="preserve">  </w:t>
      </w:r>
      <w:r w:rsidRPr="00E10BF3">
        <w:rPr>
          <w:rFonts w:ascii="黑体" w:eastAsia="黑体" w:hAnsi="黑体" w:cs="黑体" w:hint="eastAsia"/>
          <w:sz w:val="32"/>
          <w:szCs w:val="32"/>
        </w:rPr>
        <w:t>毕业办理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E10BF3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第十七</w:t>
      </w:r>
      <w:r w:rsidR="005515C0" w:rsidRPr="00E10BF3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通过毕业答辩的研究生名单报学位</w:t>
      </w:r>
      <w:proofErr w:type="gramStart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评定分</w:t>
      </w:r>
      <w:proofErr w:type="gramEnd"/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委员会审核，报研究生院审批，通过后根据研究生院相关规定办理毕业事宜。</w:t>
      </w:r>
    </w:p>
    <w:p w:rsidR="009201D1" w:rsidRPr="00E10BF3" w:rsidRDefault="005515C0" w:rsidP="00B85BA8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 w:rsidRPr="00E10BF3">
        <w:rPr>
          <w:rFonts w:ascii="黑体" w:eastAsia="黑体" w:hAnsi="黑体" w:cs="黑体" w:hint="eastAsia"/>
          <w:sz w:val="32"/>
          <w:szCs w:val="32"/>
        </w:rPr>
        <w:t>附则</w:t>
      </w:r>
    </w:p>
    <w:p w:rsidR="009201D1" w:rsidRPr="00B85BA8" w:rsidRDefault="000260BB" w:rsidP="00B85BA8">
      <w:pPr>
        <w:adjustRightInd w:val="0"/>
        <w:snapToGrid w:val="0"/>
        <w:spacing w:line="540" w:lineRule="exact"/>
        <w:ind w:firstLineChars="200" w:firstLine="643"/>
        <w:rPr>
          <w:rStyle w:val="a9"/>
          <w:rFonts w:ascii="仿宋_GB2312" w:eastAsia="仿宋_GB2312" w:hAnsi="仿宋_GB2312" w:cs="仿宋_GB2312"/>
          <w:b w:val="0"/>
          <w:bCs w:val="0"/>
          <w:color w:val="000000" w:themeColor="text1"/>
          <w:kern w:val="0"/>
          <w:sz w:val="32"/>
          <w:szCs w:val="32"/>
        </w:rPr>
      </w:pPr>
      <w:r w:rsidRPr="00E10BF3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第十八</w:t>
      </w:r>
      <w:r w:rsidR="005515C0" w:rsidRPr="00E10BF3">
        <w:rPr>
          <w:rStyle w:val="a9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条</w:t>
      </w:r>
      <w:r w:rsidR="002B3BA1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 xml:space="preserve">  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该办法由</w:t>
      </w:r>
      <w:r w:rsidR="0026670E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临床医学院</w:t>
      </w:r>
      <w:r w:rsidR="005515C0" w:rsidRPr="00B85BA8">
        <w:rPr>
          <w:rStyle w:val="a9"/>
          <w:rFonts w:ascii="仿宋_GB2312" w:eastAsia="仿宋_GB2312" w:hAnsi="仿宋_GB2312" w:cs="仿宋_GB2312" w:hint="eastAsia"/>
          <w:b w:val="0"/>
          <w:bCs w:val="0"/>
          <w:color w:val="000000" w:themeColor="text1"/>
          <w:kern w:val="0"/>
          <w:sz w:val="32"/>
          <w:szCs w:val="32"/>
        </w:rPr>
        <w:t>研究生处负责解释。</w:t>
      </w:r>
    </w:p>
    <w:p w:rsidR="009201D1" w:rsidRDefault="009201D1">
      <w:pPr>
        <w:adjustRightInd w:val="0"/>
        <w:snapToGrid w:val="0"/>
        <w:spacing w:beforeLines="50" w:before="156" w:afterLines="50" w:after="156"/>
        <w:ind w:firstLineChars="200" w:firstLine="560"/>
        <w:rPr>
          <w:sz w:val="28"/>
          <w:szCs w:val="28"/>
        </w:rPr>
      </w:pPr>
    </w:p>
    <w:p w:rsidR="009201D1" w:rsidRDefault="009201D1" w:rsidP="00B85BA8">
      <w:pPr>
        <w:adjustRightInd w:val="0"/>
        <w:snapToGrid w:val="0"/>
        <w:spacing w:beforeLines="50" w:before="156" w:afterLines="50" w:after="156"/>
        <w:rPr>
          <w:sz w:val="28"/>
          <w:szCs w:val="28"/>
        </w:rPr>
      </w:pPr>
    </w:p>
    <w:sectPr w:rsidR="0092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21D" w:rsidRDefault="00D8621D" w:rsidP="00724922">
      <w:r>
        <w:separator/>
      </w:r>
    </w:p>
  </w:endnote>
  <w:endnote w:type="continuationSeparator" w:id="0">
    <w:p w:rsidR="00D8621D" w:rsidRDefault="00D8621D" w:rsidP="0072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粗黑宋简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21D" w:rsidRDefault="00D8621D" w:rsidP="00724922">
      <w:r>
        <w:separator/>
      </w:r>
    </w:p>
  </w:footnote>
  <w:footnote w:type="continuationSeparator" w:id="0">
    <w:p w:rsidR="00D8621D" w:rsidRDefault="00D8621D" w:rsidP="0072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78"/>
    <w:rsid w:val="000260BB"/>
    <w:rsid w:val="0007644D"/>
    <w:rsid w:val="000A1F5E"/>
    <w:rsid w:val="00107163"/>
    <w:rsid w:val="00131D2F"/>
    <w:rsid w:val="00191278"/>
    <w:rsid w:val="001C08E9"/>
    <w:rsid w:val="001D65DD"/>
    <w:rsid w:val="001F3D1E"/>
    <w:rsid w:val="002378BB"/>
    <w:rsid w:val="0026340D"/>
    <w:rsid w:val="0026670E"/>
    <w:rsid w:val="00274626"/>
    <w:rsid w:val="002A3E10"/>
    <w:rsid w:val="002B3BA1"/>
    <w:rsid w:val="002D0EAF"/>
    <w:rsid w:val="00333817"/>
    <w:rsid w:val="003845C5"/>
    <w:rsid w:val="003D7DD0"/>
    <w:rsid w:val="003F5742"/>
    <w:rsid w:val="004365CB"/>
    <w:rsid w:val="004579C0"/>
    <w:rsid w:val="004E1E5D"/>
    <w:rsid w:val="005008B2"/>
    <w:rsid w:val="005158CF"/>
    <w:rsid w:val="00533F7E"/>
    <w:rsid w:val="005515C0"/>
    <w:rsid w:val="0063537E"/>
    <w:rsid w:val="007030F6"/>
    <w:rsid w:val="00724922"/>
    <w:rsid w:val="008373F7"/>
    <w:rsid w:val="008514F6"/>
    <w:rsid w:val="00871287"/>
    <w:rsid w:val="008F7B2B"/>
    <w:rsid w:val="009201D1"/>
    <w:rsid w:val="00967605"/>
    <w:rsid w:val="009F1FDB"/>
    <w:rsid w:val="00A307DE"/>
    <w:rsid w:val="00AA0AE5"/>
    <w:rsid w:val="00B12333"/>
    <w:rsid w:val="00B85BA8"/>
    <w:rsid w:val="00BE3230"/>
    <w:rsid w:val="00C726EA"/>
    <w:rsid w:val="00C77EB0"/>
    <w:rsid w:val="00C83FBD"/>
    <w:rsid w:val="00C92ED3"/>
    <w:rsid w:val="00D20EDD"/>
    <w:rsid w:val="00D27559"/>
    <w:rsid w:val="00D56B05"/>
    <w:rsid w:val="00D8621D"/>
    <w:rsid w:val="00DE1C5B"/>
    <w:rsid w:val="00DE4ED3"/>
    <w:rsid w:val="00E10BF3"/>
    <w:rsid w:val="00E248F6"/>
    <w:rsid w:val="00E51EC5"/>
    <w:rsid w:val="00E84403"/>
    <w:rsid w:val="00FA175D"/>
    <w:rsid w:val="0737031A"/>
    <w:rsid w:val="0AE15EB6"/>
    <w:rsid w:val="12162941"/>
    <w:rsid w:val="126C3BE6"/>
    <w:rsid w:val="176F67CE"/>
    <w:rsid w:val="1805395B"/>
    <w:rsid w:val="193621E2"/>
    <w:rsid w:val="1A0A1707"/>
    <w:rsid w:val="1D4E261E"/>
    <w:rsid w:val="1E7C2C43"/>
    <w:rsid w:val="26D6467F"/>
    <w:rsid w:val="27174BAB"/>
    <w:rsid w:val="2C4E0B21"/>
    <w:rsid w:val="2DA24A59"/>
    <w:rsid w:val="375440F7"/>
    <w:rsid w:val="37B611BB"/>
    <w:rsid w:val="4048429C"/>
    <w:rsid w:val="46C12CA7"/>
    <w:rsid w:val="49CC5441"/>
    <w:rsid w:val="4BEA703D"/>
    <w:rsid w:val="568C5E5C"/>
    <w:rsid w:val="56E50EC4"/>
    <w:rsid w:val="573463B3"/>
    <w:rsid w:val="5B2515EF"/>
    <w:rsid w:val="5FDC0521"/>
    <w:rsid w:val="6225014F"/>
    <w:rsid w:val="675D69A8"/>
    <w:rsid w:val="68663734"/>
    <w:rsid w:val="6D59316F"/>
    <w:rsid w:val="6F5C73BF"/>
    <w:rsid w:val="77A7643A"/>
    <w:rsid w:val="7A7C37E2"/>
    <w:rsid w:val="7C3E3FEF"/>
    <w:rsid w:val="7D0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ADD35-F677-4201-89DC-42914876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574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F57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2B7DE-FB39-459F-8C6F-4D0EA7A5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246</Words>
  <Characters>1407</Characters>
  <Application>Microsoft Office Word</Application>
  <DocSecurity>0</DocSecurity>
  <Lines>11</Lines>
  <Paragraphs>3</Paragraphs>
  <ScaleCrop>false</ScaleCrop>
  <Company>P R 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cp:lastPrinted>2020-08-26T01:22:00Z</cp:lastPrinted>
  <dcterms:created xsi:type="dcterms:W3CDTF">2020-12-08T10:23:00Z</dcterms:created>
  <dcterms:modified xsi:type="dcterms:W3CDTF">2022-05-16T07:28:00Z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